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9CF9B" w14:textId="77777777" w:rsidR="00EF2807" w:rsidRPr="00C151FA" w:rsidRDefault="00EF2807" w:rsidP="00EF2807">
      <w:pPr>
        <w:jc w:val="center"/>
        <w:rPr>
          <w:rFonts w:asciiTheme="minorHAnsi" w:hAnsiTheme="minorHAnsi" w:cstheme="minorHAnsi"/>
          <w:b/>
          <w:bCs/>
          <w:sz w:val="28"/>
          <w:szCs w:val="24"/>
        </w:rPr>
      </w:pPr>
      <w:r w:rsidRPr="00C151FA">
        <w:rPr>
          <w:rFonts w:asciiTheme="minorHAnsi" w:hAnsiTheme="minorHAnsi" w:cstheme="minorHAnsi"/>
          <w:b/>
          <w:bCs/>
          <w:sz w:val="28"/>
          <w:szCs w:val="24"/>
        </w:rPr>
        <w:t>L</w:t>
      </w:r>
      <w:r w:rsidRPr="00C151FA">
        <w:rPr>
          <w:rFonts w:asciiTheme="minorHAnsi" w:hAnsiTheme="minorHAnsi" w:cstheme="minorHAnsi"/>
          <w:b/>
          <w:sz w:val="28"/>
          <w:szCs w:val="24"/>
        </w:rPr>
        <w:t>anzamiento</w:t>
      </w:r>
      <w:r w:rsidRPr="00C151FA">
        <w:rPr>
          <w:rFonts w:asciiTheme="minorHAnsi" w:hAnsiTheme="minorHAnsi" w:cstheme="minorHAnsi"/>
          <w:b/>
          <w:bCs/>
          <w:sz w:val="28"/>
          <w:szCs w:val="24"/>
        </w:rPr>
        <w:t xml:space="preserve"> del Centro Global de Excelencia en Estadísticas de Género</w:t>
      </w:r>
    </w:p>
    <w:p w14:paraId="56B9CF9C" w14:textId="77777777" w:rsidR="00EF2807" w:rsidRPr="00C151FA" w:rsidRDefault="00EF2807" w:rsidP="00EF2807">
      <w:pPr>
        <w:jc w:val="center"/>
        <w:rPr>
          <w:rFonts w:asciiTheme="minorHAnsi" w:hAnsiTheme="minorHAnsi" w:cstheme="minorHAnsi"/>
          <w:b/>
          <w:bCs/>
          <w:sz w:val="28"/>
          <w:szCs w:val="24"/>
        </w:rPr>
      </w:pPr>
      <w:r w:rsidRPr="00C151FA">
        <w:rPr>
          <w:rFonts w:asciiTheme="minorHAnsi" w:hAnsiTheme="minorHAnsi" w:cstheme="minorHAnsi"/>
          <w:b/>
          <w:bCs/>
          <w:sz w:val="28"/>
          <w:szCs w:val="24"/>
        </w:rPr>
        <w:t>y</w:t>
      </w:r>
    </w:p>
    <w:p w14:paraId="56B9CF9D" w14:textId="77777777" w:rsidR="00EF2807" w:rsidRPr="00C151FA" w:rsidRDefault="00EF2807" w:rsidP="00EF2807">
      <w:pPr>
        <w:jc w:val="center"/>
        <w:rPr>
          <w:rFonts w:asciiTheme="minorHAnsi" w:hAnsiTheme="minorHAnsi" w:cstheme="minorHAnsi"/>
          <w:b/>
          <w:bCs/>
          <w:sz w:val="28"/>
          <w:szCs w:val="24"/>
        </w:rPr>
      </w:pPr>
      <w:r w:rsidRPr="00C151FA">
        <w:rPr>
          <w:rFonts w:asciiTheme="minorHAnsi" w:hAnsiTheme="minorHAnsi" w:cstheme="minorHAnsi"/>
          <w:b/>
          <w:bCs/>
          <w:sz w:val="28"/>
          <w:szCs w:val="24"/>
        </w:rPr>
        <w:t xml:space="preserve"> Primera Conferencia Global sobre Igualdad de Género y la Medición del </w:t>
      </w:r>
    </w:p>
    <w:p w14:paraId="56B9CF9E" w14:textId="77777777" w:rsidR="00EF2807" w:rsidRPr="00C151FA" w:rsidRDefault="00EF2807" w:rsidP="00EF2807">
      <w:pPr>
        <w:jc w:val="center"/>
        <w:rPr>
          <w:rFonts w:asciiTheme="minorHAnsi" w:hAnsiTheme="minorHAnsi" w:cstheme="minorHAnsi"/>
          <w:b/>
          <w:bCs/>
          <w:sz w:val="28"/>
          <w:szCs w:val="24"/>
        </w:rPr>
      </w:pPr>
      <w:r w:rsidRPr="00C151FA">
        <w:rPr>
          <w:rFonts w:asciiTheme="minorHAnsi" w:hAnsiTheme="minorHAnsi" w:cstheme="minorHAnsi"/>
          <w:b/>
          <w:bCs/>
          <w:sz w:val="28"/>
          <w:szCs w:val="24"/>
        </w:rPr>
        <w:t>Trabajo Doméstico y de Cuidados No Remunerado</w:t>
      </w:r>
    </w:p>
    <w:p w14:paraId="56B9CF9F" w14:textId="77777777" w:rsidR="00EF2807" w:rsidRPr="00512AF7" w:rsidRDefault="00EF2807" w:rsidP="00EF2807">
      <w:pPr>
        <w:jc w:val="both"/>
        <w:rPr>
          <w:sz w:val="24"/>
          <w:szCs w:val="24"/>
        </w:rPr>
      </w:pPr>
    </w:p>
    <w:p w14:paraId="56B9CFA0" w14:textId="77777777" w:rsidR="00EF2807" w:rsidRPr="003270AD" w:rsidRDefault="00EF2807" w:rsidP="00EF2807">
      <w:pPr>
        <w:jc w:val="center"/>
        <w:rPr>
          <w:rFonts w:asciiTheme="minorHAnsi" w:eastAsiaTheme="minorHAnsi" w:hAnsiTheme="minorHAnsi" w:cstheme="minorHAnsi"/>
          <w:b/>
          <w:sz w:val="22"/>
          <w:szCs w:val="22"/>
          <w:lang w:val="es-MX" w:eastAsia="en-US"/>
        </w:rPr>
      </w:pPr>
      <w:r w:rsidRPr="003270AD">
        <w:rPr>
          <w:rFonts w:asciiTheme="minorHAnsi" w:eastAsiaTheme="minorHAnsi" w:hAnsiTheme="minorHAnsi" w:cstheme="minorHAnsi"/>
          <w:b/>
          <w:sz w:val="22"/>
          <w:szCs w:val="22"/>
          <w:lang w:val="es-MX" w:eastAsia="en-US"/>
        </w:rPr>
        <w:t>10 y 11 de septiembre de 2018</w:t>
      </w:r>
    </w:p>
    <w:p w14:paraId="56B9CFA1" w14:textId="77777777" w:rsidR="00EF2807" w:rsidRPr="003270AD" w:rsidRDefault="00EF2807" w:rsidP="00EF2807">
      <w:pPr>
        <w:jc w:val="center"/>
        <w:rPr>
          <w:rFonts w:asciiTheme="minorHAnsi" w:eastAsia="Book Antiqua" w:hAnsiTheme="minorHAnsi" w:cstheme="minorHAnsi"/>
          <w:b/>
          <w:bCs/>
          <w:sz w:val="22"/>
          <w:szCs w:val="22"/>
          <w:lang w:val="es-MX" w:eastAsia="en-US"/>
        </w:rPr>
      </w:pPr>
      <w:r w:rsidRPr="003270AD">
        <w:rPr>
          <w:rFonts w:asciiTheme="minorHAnsi" w:hAnsiTheme="minorHAnsi" w:cstheme="minorHAnsi"/>
          <w:b/>
          <w:bCs/>
          <w:sz w:val="22"/>
          <w:szCs w:val="22"/>
          <w:lang w:val="es-MX" w:eastAsia="en-US"/>
        </w:rPr>
        <w:t xml:space="preserve">Lugar: Secretaría de Relaciones Exteriores, Sala </w:t>
      </w:r>
      <w:r w:rsidRPr="003270AD">
        <w:rPr>
          <w:rFonts w:asciiTheme="minorHAnsi" w:hAnsiTheme="minorHAnsi" w:cstheme="minorHAnsi"/>
          <w:b/>
          <w:bCs/>
          <w:i/>
          <w:iCs/>
          <w:sz w:val="22"/>
          <w:szCs w:val="22"/>
        </w:rPr>
        <w:t>José Ma. Morelos</w:t>
      </w:r>
    </w:p>
    <w:p w14:paraId="56B9CFA2" w14:textId="77777777" w:rsidR="00EF2807" w:rsidRPr="003270AD" w:rsidRDefault="00EF2807" w:rsidP="00EF2807">
      <w:pPr>
        <w:jc w:val="center"/>
        <w:rPr>
          <w:rFonts w:asciiTheme="minorHAnsi" w:eastAsia="Book Antiqua" w:hAnsiTheme="minorHAnsi" w:cstheme="minorHAnsi"/>
          <w:b/>
          <w:bCs/>
          <w:sz w:val="22"/>
          <w:szCs w:val="22"/>
          <w:lang w:val="es-MX"/>
        </w:rPr>
      </w:pPr>
      <w:r w:rsidRPr="003270AD">
        <w:rPr>
          <w:rFonts w:asciiTheme="minorHAnsi" w:hAnsiTheme="minorHAnsi" w:cstheme="minorHAnsi"/>
          <w:b/>
          <w:bCs/>
          <w:sz w:val="22"/>
          <w:szCs w:val="22"/>
          <w:lang w:val="es-MX" w:eastAsia="en-US"/>
        </w:rPr>
        <w:t>Plaza Juárez 20, Col. Centro</w:t>
      </w:r>
    </w:p>
    <w:p w14:paraId="56B9CFA3" w14:textId="77777777" w:rsidR="00EF2807" w:rsidRPr="003270AD" w:rsidRDefault="00EF2807" w:rsidP="00EF2807">
      <w:pPr>
        <w:jc w:val="center"/>
        <w:rPr>
          <w:rFonts w:asciiTheme="minorHAnsi" w:eastAsiaTheme="minorHAnsi" w:hAnsiTheme="minorHAnsi" w:cstheme="minorHAnsi"/>
          <w:b/>
          <w:sz w:val="22"/>
          <w:szCs w:val="22"/>
          <w:lang w:val="es-MX" w:eastAsia="en-US"/>
        </w:rPr>
      </w:pPr>
      <w:r w:rsidRPr="003270AD">
        <w:rPr>
          <w:rFonts w:asciiTheme="minorHAnsi" w:eastAsiaTheme="minorHAnsi" w:hAnsiTheme="minorHAnsi" w:cstheme="minorHAnsi"/>
          <w:b/>
          <w:sz w:val="22"/>
          <w:szCs w:val="22"/>
          <w:lang w:val="es-MX" w:eastAsia="en-US"/>
        </w:rPr>
        <w:t>Ciudad de México, México</w:t>
      </w:r>
    </w:p>
    <w:p w14:paraId="56B9CFA4" w14:textId="77777777" w:rsidR="00EF2807" w:rsidRPr="003270AD" w:rsidRDefault="00EF2807" w:rsidP="00EF2807">
      <w:pPr>
        <w:jc w:val="center"/>
        <w:rPr>
          <w:rFonts w:asciiTheme="minorHAnsi" w:eastAsiaTheme="minorHAnsi" w:hAnsiTheme="minorHAnsi" w:cstheme="minorHAnsi"/>
          <w:b/>
          <w:sz w:val="28"/>
          <w:szCs w:val="28"/>
          <w:lang w:val="es-MX" w:eastAsia="en-US"/>
        </w:rPr>
      </w:pPr>
    </w:p>
    <w:p w14:paraId="56B9CFA5" w14:textId="77777777" w:rsidR="00EF2807" w:rsidRPr="003270AD" w:rsidRDefault="00EF2807" w:rsidP="00EF2807">
      <w:pPr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sz w:val="32"/>
          <w:szCs w:val="24"/>
          <w:lang w:val="es-MX" w:eastAsia="en-US"/>
        </w:rPr>
      </w:pPr>
      <w:r w:rsidRPr="003270AD">
        <w:rPr>
          <w:rFonts w:asciiTheme="minorHAnsi" w:eastAsiaTheme="minorEastAsia" w:hAnsiTheme="minorHAnsi" w:cstheme="minorHAnsi"/>
          <w:b/>
          <w:bCs/>
          <w:color w:val="000000" w:themeColor="text1"/>
          <w:sz w:val="32"/>
          <w:szCs w:val="24"/>
          <w:lang w:val="es-MX" w:eastAsia="en-US"/>
        </w:rPr>
        <w:t>Nota Conceptual</w:t>
      </w:r>
      <w:bookmarkStart w:id="0" w:name="_GoBack"/>
      <w:bookmarkEnd w:id="0"/>
    </w:p>
    <w:p w14:paraId="56B9CFA6" w14:textId="77777777" w:rsidR="00EF2807" w:rsidRPr="007B148D" w:rsidRDefault="00EF2807" w:rsidP="00EF2807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7B148D">
        <w:rPr>
          <w:rFonts w:asciiTheme="minorHAnsi" w:hAnsiTheme="minorHAnsi" w:cstheme="minorHAnsi"/>
          <w:b/>
          <w:sz w:val="24"/>
          <w:szCs w:val="24"/>
        </w:rPr>
        <w:t>Antecedentes</w:t>
      </w:r>
    </w:p>
    <w:p w14:paraId="56B9CFA7" w14:textId="77777777" w:rsidR="00EF2807" w:rsidRPr="00D03CBD" w:rsidRDefault="00EF2807" w:rsidP="00EF2807">
      <w:pPr>
        <w:jc w:val="both"/>
        <w:rPr>
          <w:b/>
          <w:sz w:val="22"/>
          <w:szCs w:val="22"/>
        </w:rPr>
      </w:pPr>
    </w:p>
    <w:p w14:paraId="56B9CFA8" w14:textId="77777777" w:rsidR="00EF2807" w:rsidRPr="007C5409" w:rsidRDefault="00EF2807" w:rsidP="00EF2807">
      <w:pPr>
        <w:jc w:val="both"/>
        <w:rPr>
          <w:sz w:val="22"/>
          <w:szCs w:val="22"/>
        </w:rPr>
      </w:pPr>
      <w:r w:rsidRPr="007C5409">
        <w:rPr>
          <w:sz w:val="22"/>
          <w:szCs w:val="22"/>
        </w:rPr>
        <w:t>En septiembre de 2015 la Asamblea General de las Naciones Unidas adoptó por consenso la Resolución 70/1</w:t>
      </w:r>
      <w:r w:rsidRPr="007C5409">
        <w:rPr>
          <w:i/>
          <w:sz w:val="22"/>
          <w:szCs w:val="22"/>
        </w:rPr>
        <w:t>: Transformar nuestro mundo: la Agenda 2030 para el Desarrollo Sostenible</w:t>
      </w:r>
      <w:r w:rsidRPr="007C5409">
        <w:rPr>
          <w:sz w:val="22"/>
          <w:szCs w:val="22"/>
        </w:rPr>
        <w:t xml:space="preserve">. La Resolución establece que: “Darnos cuenta de que la igualdad de género y el empoderamiento de las mujeres y las niñas es crucial para alcanzar el progreso”. Es por ello que la igualdad de género y los derechos de las mujeres se reflejan de manera transversal en toda la Agenda 2030, incluyendo la declaración, metas, objetivos e indicadores, formas de implementación y seguimiento, así como en su análisis. </w:t>
      </w:r>
    </w:p>
    <w:p w14:paraId="56B9CFA9" w14:textId="77777777" w:rsidR="00EF2807" w:rsidRPr="007C5409" w:rsidRDefault="00EF2807" w:rsidP="00EF2807">
      <w:pPr>
        <w:jc w:val="both"/>
        <w:rPr>
          <w:sz w:val="22"/>
          <w:szCs w:val="22"/>
        </w:rPr>
      </w:pPr>
    </w:p>
    <w:p w14:paraId="56B9CFAA" w14:textId="77777777" w:rsidR="00EF2807" w:rsidRPr="007C5409" w:rsidRDefault="00EF2807" w:rsidP="00EF2807">
      <w:pPr>
        <w:jc w:val="both"/>
        <w:rPr>
          <w:sz w:val="22"/>
          <w:szCs w:val="22"/>
        </w:rPr>
      </w:pPr>
      <w:r w:rsidRPr="007C5409">
        <w:rPr>
          <w:sz w:val="22"/>
          <w:szCs w:val="22"/>
        </w:rPr>
        <w:t xml:space="preserve">Esta ambición histórica y sin precedentes, requiere de acciones igualmente ambiciosas para asegurar su implementación, tanto a nivel regional como nacional. Es imperativo traducir estas metas y objetivos en acciones nacionales tangibles y monitorear su implementación; para ello se requerirá de un marco de monitoreo y rendición de cuentas con recursos adecuados y de autoridad. Tener indicadores robustos y datos de calidad es de vital importancia, ya que en gran medida determinarán si los esfuerzos de las políticas están alineados a los objetivos y a las metas, así como el evaluar si se han logrado o incumplido. Al construir sistemas integrados de información de igualdad de género y empoderamiento de las mujeres en todas sus dimensiones, se proporcionará una base sólida con evidencia confiable que pueda informar las políticas y catalizar las acciones. </w:t>
      </w:r>
    </w:p>
    <w:p w14:paraId="56B9CFAB" w14:textId="77777777" w:rsidR="00EF2807" w:rsidRPr="007C5409" w:rsidRDefault="00EF2807" w:rsidP="00EF2807">
      <w:pPr>
        <w:jc w:val="both"/>
        <w:rPr>
          <w:sz w:val="22"/>
          <w:szCs w:val="22"/>
        </w:rPr>
      </w:pPr>
    </w:p>
    <w:p w14:paraId="56B9CFAC" w14:textId="77777777" w:rsidR="00EF2807" w:rsidRPr="007C5409" w:rsidRDefault="00EF2807" w:rsidP="00EF2807">
      <w:pPr>
        <w:jc w:val="both"/>
        <w:rPr>
          <w:sz w:val="22"/>
          <w:szCs w:val="22"/>
        </w:rPr>
      </w:pPr>
      <w:r w:rsidRPr="007C5409">
        <w:rPr>
          <w:sz w:val="22"/>
          <w:szCs w:val="22"/>
        </w:rPr>
        <w:t>A lo largo de los años, el Gobierno de México, a través del Instituto Nacional de Estadística y Geografía (INEGI) y del Instituto Nacional de las Mujeres (INMUJERES), se ha posicionado como un importante líder regional y global en la producción y análisis de las estadísticas de género, particularmente en el desarrollo de métodos innovadores para la recolección de datos en temas clave relacionados con la igualdad de género y el empoderamiento de las mujeres. Asimismo, el Gobierno Mexicano, a través del INEGI, y ONU Mujeres han unido esfuerzos para establecer el Centro Global de Excelencia de Estadísticas de Género (CEEG) con el fin de avanzar hacia nuevas fronteras de conocimiento en las estadísticas y fortalecer el monitoreo global de los Objetivos de Desarrollo Sostenible.</w:t>
      </w:r>
    </w:p>
    <w:p w14:paraId="56B9CFAD" w14:textId="77777777" w:rsidR="00EF2807" w:rsidRPr="007C5409" w:rsidRDefault="00EF2807" w:rsidP="00EF2807">
      <w:pPr>
        <w:jc w:val="both"/>
        <w:rPr>
          <w:b/>
          <w:bCs/>
          <w:sz w:val="22"/>
          <w:szCs w:val="22"/>
        </w:rPr>
      </w:pPr>
    </w:p>
    <w:p w14:paraId="56B9CFAE" w14:textId="77777777" w:rsidR="00EF2807" w:rsidRPr="007C5409" w:rsidRDefault="00EF2807" w:rsidP="00EF2807">
      <w:pPr>
        <w:autoSpaceDE/>
        <w:autoSpaceDN/>
        <w:rPr>
          <w:b/>
          <w:sz w:val="22"/>
          <w:szCs w:val="22"/>
        </w:rPr>
      </w:pPr>
      <w:r w:rsidRPr="007C5409">
        <w:rPr>
          <w:b/>
          <w:sz w:val="22"/>
          <w:szCs w:val="22"/>
        </w:rPr>
        <w:br w:type="page"/>
      </w:r>
    </w:p>
    <w:p w14:paraId="56B9CFAF" w14:textId="77777777" w:rsidR="00EF2807" w:rsidRPr="007C5409" w:rsidRDefault="00EF2807" w:rsidP="00EF280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C5409">
        <w:rPr>
          <w:rFonts w:asciiTheme="minorHAnsi" w:hAnsiTheme="minorHAnsi" w:cstheme="minorHAnsi"/>
          <w:b/>
          <w:sz w:val="22"/>
          <w:szCs w:val="22"/>
        </w:rPr>
        <w:lastRenderedPageBreak/>
        <w:t>Acerca del Centro de Excelencia en Estadísticas de Género (CEEG)</w:t>
      </w:r>
    </w:p>
    <w:p w14:paraId="56B9CFB0" w14:textId="77777777" w:rsidR="00EF2807" w:rsidRPr="007C5409" w:rsidRDefault="00EF2807" w:rsidP="00EF2807">
      <w:pPr>
        <w:jc w:val="both"/>
        <w:rPr>
          <w:sz w:val="22"/>
          <w:szCs w:val="22"/>
        </w:rPr>
      </w:pPr>
    </w:p>
    <w:p w14:paraId="56B9CFB1" w14:textId="77777777" w:rsidR="00EF2807" w:rsidRPr="007C5409" w:rsidRDefault="00EF2807" w:rsidP="00EF2807">
      <w:pPr>
        <w:jc w:val="both"/>
        <w:rPr>
          <w:sz w:val="22"/>
          <w:szCs w:val="22"/>
        </w:rPr>
      </w:pPr>
      <w:r w:rsidRPr="007C5409">
        <w:rPr>
          <w:sz w:val="22"/>
          <w:szCs w:val="22"/>
        </w:rPr>
        <w:t>El CEEG, con sede en la Ciudad de México, es una iniciativa innovadora y primera en su tipo, que contribuye a los esfuerzos estratégicos de ONU Mujeres y del INEGI para fortalecer la producción, disponibilidad, análisis y uso de datos comparables a nivel internacional, así como las estadísticas sobre temas clave y emergentes, a fin de lograr la igualdad de género y el empoderamiento de las mujeres. El CEEG tiene como objetivo fortalecer las estadísticas de género por medio de la colaboración, el intercambio de conocimientos, la investigación y la innovación. El CEEG reunirá socios, entre los que se incluyen gobiernos, fundaciones privadas, agencias internacionales y organizaciones de la sociedad civil, para lograr resultados medibles en tres áreas interconectadas:</w:t>
      </w:r>
    </w:p>
    <w:p w14:paraId="56B9CFB2" w14:textId="77777777" w:rsidR="00EF2807" w:rsidRPr="007C5409" w:rsidRDefault="00EF2807" w:rsidP="00EF2807">
      <w:pPr>
        <w:jc w:val="both"/>
        <w:rPr>
          <w:sz w:val="22"/>
          <w:szCs w:val="22"/>
        </w:rPr>
      </w:pPr>
    </w:p>
    <w:p w14:paraId="56B9CFB3" w14:textId="77777777" w:rsidR="00EF2807" w:rsidRPr="007C5409" w:rsidRDefault="00EF2807" w:rsidP="00EF2807">
      <w:pPr>
        <w:pStyle w:val="ListParagraph"/>
        <w:numPr>
          <w:ilvl w:val="0"/>
          <w:numId w:val="1"/>
        </w:numPr>
        <w:spacing w:after="160"/>
        <w:ind w:left="360" w:hanging="270"/>
        <w:rPr>
          <w:rFonts w:ascii="Times New Roman" w:hAnsi="Times New Roman"/>
        </w:rPr>
      </w:pPr>
      <w:r w:rsidRPr="007C5409">
        <w:rPr>
          <w:rFonts w:ascii="Times New Roman" w:hAnsi="Times New Roman"/>
          <w:b/>
        </w:rPr>
        <w:t>Promover la colaboración global en estadísticas de género</w:t>
      </w:r>
      <w:r w:rsidRPr="007C5409">
        <w:rPr>
          <w:rFonts w:ascii="Times New Roman" w:hAnsi="Times New Roman"/>
        </w:rPr>
        <w:t xml:space="preserve"> al servir como un espacio común (similar a un espacio mercantil) donde coincida la oferta y la demanda de cooperación para el desarrollo, fortalecimiento, armonización, comparabilidad, difusión y uso de estadísticas de género, especialmente en temas/técnicas emergentes, así como en algunas áreas más tradicionales donde los retos en la medición y la calidad de datos persisten (por ejemplo: medición del trabajo doméstico y de cuidados no remunerado, y las formas extremas de violencia contra las mujeres).</w:t>
      </w:r>
    </w:p>
    <w:p w14:paraId="56B9CFB4" w14:textId="77777777" w:rsidR="00EF2807" w:rsidRPr="007C5409" w:rsidRDefault="00EF2807" w:rsidP="00EF2807">
      <w:pPr>
        <w:pStyle w:val="ListParagraph"/>
        <w:numPr>
          <w:ilvl w:val="0"/>
          <w:numId w:val="1"/>
        </w:numPr>
        <w:spacing w:after="160"/>
        <w:ind w:left="360" w:hanging="270"/>
        <w:rPr>
          <w:rFonts w:ascii="Times New Roman" w:eastAsia="Times New Roman" w:hAnsi="Times New Roman"/>
        </w:rPr>
      </w:pPr>
      <w:r w:rsidRPr="007C5409">
        <w:rPr>
          <w:rFonts w:ascii="Times New Roman" w:eastAsia="Times New Roman" w:hAnsi="Times New Roman"/>
          <w:b/>
          <w:bCs/>
        </w:rPr>
        <w:t>Liderar innovaciones metodológicas, conocimiento y buenas prácticas</w:t>
      </w:r>
      <w:r w:rsidRPr="007C5409">
        <w:rPr>
          <w:rFonts w:ascii="Times New Roman" w:eastAsia="Times New Roman" w:hAnsi="Times New Roman"/>
        </w:rPr>
        <w:t xml:space="preserve"> a nivel global para proporcionar respuestas oportunas a las necesidades emergentes y a los retos estructurales de los sistemas nacionales de estadísticas. Inicialmente, el trabajo se enfocará en la integración de datos de género, geoespaciales y en la aplicación de técnicas analíticas de </w:t>
      </w:r>
      <w:r w:rsidRPr="007C5409">
        <w:rPr>
          <w:rFonts w:ascii="Times New Roman" w:eastAsia="Times New Roman" w:hAnsi="Times New Roman"/>
          <w:i/>
          <w:iCs/>
        </w:rPr>
        <w:t>Big Data</w:t>
      </w:r>
      <w:r w:rsidRPr="007C5409">
        <w:rPr>
          <w:rFonts w:ascii="Times New Roman" w:eastAsia="Times New Roman" w:hAnsi="Times New Roman"/>
        </w:rPr>
        <w:t xml:space="preserve"> enfocados en temas de igualdad de género. </w:t>
      </w:r>
    </w:p>
    <w:p w14:paraId="56B9CFB5" w14:textId="77777777" w:rsidR="00EF2807" w:rsidRPr="007C5409" w:rsidRDefault="00EF2807" w:rsidP="00EF2807">
      <w:pPr>
        <w:pStyle w:val="ListParagraph"/>
        <w:numPr>
          <w:ilvl w:val="0"/>
          <w:numId w:val="1"/>
        </w:numPr>
        <w:spacing w:after="160"/>
        <w:ind w:left="360" w:hanging="270"/>
        <w:rPr>
          <w:rFonts w:ascii="Times New Roman" w:eastAsia="Times New Roman" w:hAnsi="Times New Roman"/>
        </w:rPr>
      </w:pPr>
      <w:r w:rsidRPr="007C5409">
        <w:rPr>
          <w:rFonts w:ascii="Times New Roman" w:eastAsia="Times New Roman" w:hAnsi="Times New Roman"/>
          <w:b/>
          <w:bCs/>
        </w:rPr>
        <w:t>Desarrollar materiales y herramientas de capacitación</w:t>
      </w:r>
      <w:r w:rsidRPr="007C5409">
        <w:rPr>
          <w:rFonts w:ascii="Times New Roman" w:eastAsia="Times New Roman" w:hAnsi="Times New Roman"/>
        </w:rPr>
        <w:t xml:space="preserve"> en áreas emergentes de estadísticas de género, incluyendo en un principio la medición del trabajo doméstico y de cuidados no remunerado, formas de violencia extrema contra la mujer, como el feminicidio, y el análisis de datos de género y análisis geoespaciales.</w:t>
      </w:r>
    </w:p>
    <w:p w14:paraId="56B9CFB6" w14:textId="77777777" w:rsidR="00EF2807" w:rsidRPr="007C5409" w:rsidRDefault="00EF2807" w:rsidP="00EF2807">
      <w:pPr>
        <w:jc w:val="both"/>
        <w:rPr>
          <w:sz w:val="22"/>
          <w:szCs w:val="22"/>
          <w:lang w:val="es-MX" w:eastAsia="en-US"/>
        </w:rPr>
      </w:pPr>
      <w:r w:rsidRPr="007C5409">
        <w:rPr>
          <w:sz w:val="22"/>
          <w:szCs w:val="22"/>
          <w:lang w:val="es-MX" w:eastAsia="en-US"/>
        </w:rPr>
        <w:t xml:space="preserve">Para llevar a cabo este programa de trabajo, el CEEG se asociará con actores clave en estadísticas de género para aprovechar los esfuerzos, identificar oportunidades y desarrollar iniciativas en el marco de sus prioridades temáticas y estrategias programáticas.  Asimismo, el  CEEG  coordinará  los  esfuerzos  de ONU Mujeres en el marco global de su Programa Insignia de Estadísticas de Género: </w:t>
      </w:r>
      <w:r w:rsidRPr="007C5409">
        <w:rPr>
          <w:i/>
          <w:sz w:val="22"/>
          <w:szCs w:val="22"/>
          <w:lang w:val="es-MX" w:eastAsia="en-US"/>
        </w:rPr>
        <w:t>Making Every Woman and Girl Count</w:t>
      </w:r>
      <w:r w:rsidRPr="007C5409">
        <w:rPr>
          <w:sz w:val="22"/>
          <w:szCs w:val="22"/>
          <w:lang w:val="es-MX" w:eastAsia="en-US"/>
        </w:rPr>
        <w:t>.</w:t>
      </w:r>
    </w:p>
    <w:p w14:paraId="56B9CFB7" w14:textId="77777777" w:rsidR="00EF2807" w:rsidRPr="007C5409" w:rsidRDefault="00EF2807" w:rsidP="00EF2807">
      <w:pPr>
        <w:jc w:val="both"/>
        <w:rPr>
          <w:b/>
          <w:sz w:val="22"/>
          <w:szCs w:val="22"/>
        </w:rPr>
      </w:pPr>
    </w:p>
    <w:p w14:paraId="56B9CFB8" w14:textId="77777777" w:rsidR="00EF2807" w:rsidRPr="007C5409" w:rsidRDefault="00EF2807" w:rsidP="00EF280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C5409">
        <w:rPr>
          <w:rFonts w:asciiTheme="minorHAnsi" w:hAnsiTheme="minorHAnsi" w:cstheme="minorHAnsi"/>
          <w:b/>
          <w:sz w:val="22"/>
          <w:szCs w:val="22"/>
        </w:rPr>
        <w:t>Objetivos</w:t>
      </w:r>
    </w:p>
    <w:p w14:paraId="56B9CFB9" w14:textId="77777777" w:rsidR="00EF2807" w:rsidRPr="007C5409" w:rsidRDefault="00EF2807" w:rsidP="00EF2807">
      <w:pPr>
        <w:jc w:val="both"/>
        <w:rPr>
          <w:b/>
          <w:sz w:val="22"/>
          <w:szCs w:val="22"/>
        </w:rPr>
      </w:pPr>
    </w:p>
    <w:p w14:paraId="56B9CFBA" w14:textId="77777777" w:rsidR="00EF2807" w:rsidRPr="007C5409" w:rsidRDefault="00EF2807" w:rsidP="00EF2807">
      <w:pPr>
        <w:jc w:val="both"/>
        <w:rPr>
          <w:sz w:val="22"/>
          <w:szCs w:val="22"/>
        </w:rPr>
      </w:pPr>
      <w:r w:rsidRPr="007C5409">
        <w:rPr>
          <w:sz w:val="22"/>
          <w:szCs w:val="22"/>
        </w:rPr>
        <w:t xml:space="preserve">Para el lanzamiento del Centro Global de Excelencia de Estadísticas de Género (CEEG), el  INEGI  y  ONU Mujeres están organizando un evento de alto nivel con el fin de discutir las metas y objetivos del Centro, y cómo éste puede ayudar a cerrar las brechas de datos de género y contribuir al desarrollo sostenible a nivel global. Una vez que concluya el lanzamiento del Centro se llevará a cabo en el mismo recinto la </w:t>
      </w:r>
      <w:r w:rsidRPr="007C5409">
        <w:rPr>
          <w:b/>
          <w:sz w:val="22"/>
          <w:szCs w:val="22"/>
        </w:rPr>
        <w:t>Primera Conferencia Global sobre Igualdad de Género y la Medición del Trabajo Doméstico y de Cuidados No Remunerado</w:t>
      </w:r>
      <w:r w:rsidRPr="007C5409">
        <w:rPr>
          <w:sz w:val="22"/>
          <w:szCs w:val="22"/>
        </w:rPr>
        <w:t xml:space="preserve">, así como su relevancia para la elaboración de políticas públicas. </w:t>
      </w:r>
    </w:p>
    <w:p w14:paraId="56B9CFBB" w14:textId="77777777" w:rsidR="00EF2807" w:rsidRPr="007C5409" w:rsidRDefault="00EF2807" w:rsidP="00EF2807">
      <w:pPr>
        <w:jc w:val="both"/>
        <w:rPr>
          <w:sz w:val="22"/>
          <w:szCs w:val="22"/>
        </w:rPr>
      </w:pPr>
    </w:p>
    <w:p w14:paraId="56B9CFBC" w14:textId="77777777" w:rsidR="00EF2807" w:rsidRPr="007C5409" w:rsidRDefault="00EF2807" w:rsidP="00EF2807">
      <w:pPr>
        <w:jc w:val="both"/>
        <w:rPr>
          <w:sz w:val="22"/>
          <w:szCs w:val="22"/>
        </w:rPr>
      </w:pPr>
      <w:r w:rsidRPr="007C5409">
        <w:rPr>
          <w:sz w:val="22"/>
          <w:szCs w:val="22"/>
        </w:rPr>
        <w:t xml:space="preserve">Como una de las áreas clave del CEEG, la Conferencia se enfocará en la importancia de medir el trabajo doméstico y de cuidados no remunerado, y el uso de esta información en el diseño de políticas para lograr la igualdad de género. Los temas que se desarrollarán incluyen la investigación y la medición del uso de tiempo, analizando si las medidas actuales capturan adecuadamente las </w:t>
      </w:r>
      <w:r w:rsidRPr="007C5409">
        <w:rPr>
          <w:sz w:val="22"/>
          <w:szCs w:val="22"/>
        </w:rPr>
        <w:lastRenderedPageBreak/>
        <w:t>desigualdades de género en el trabajo doméstico y de cuidados no remunerado; las diferencias metodológicas en la medición del trabajo de cuidados no remunerado y cómo esto afecta al monitoreo global de los ODS; innovaciones en la medición, incluyendo el uso de tecnología, así como las políticas y programas que hacen uso de los datos de trabajo doméstico y de cuidados no remunerado.</w:t>
      </w:r>
    </w:p>
    <w:p w14:paraId="56B9CFBD" w14:textId="77777777" w:rsidR="00EF2807" w:rsidRPr="007C5409" w:rsidRDefault="00EF2807" w:rsidP="00EF2807">
      <w:pPr>
        <w:jc w:val="both"/>
        <w:rPr>
          <w:sz w:val="22"/>
          <w:szCs w:val="22"/>
        </w:rPr>
      </w:pPr>
    </w:p>
    <w:p w14:paraId="56B9CFBE" w14:textId="77777777" w:rsidR="00EF2807" w:rsidRPr="007C5409" w:rsidRDefault="00EF2807" w:rsidP="00EF2807">
      <w:pPr>
        <w:jc w:val="both"/>
        <w:rPr>
          <w:sz w:val="22"/>
          <w:szCs w:val="22"/>
        </w:rPr>
      </w:pPr>
      <w:r w:rsidRPr="007C5409">
        <w:rPr>
          <w:sz w:val="22"/>
          <w:szCs w:val="22"/>
        </w:rPr>
        <w:t>Este evento de dos días se realizará en la Ciudad de México el 10 y 11 de septiembre. Las conclusiones y recomendaciones que surjan de la Conferencia ayudarán a enriquecer al programa de trabajo del CEEG. El evento también será una oportunidad para que la comunidad global exprese su compromiso de contribuir en su desarrollo. Entre los conferencistas y los asistentes participarán funcionarios de gobierno, especialistas de las Oficinas Nacionales de Estadísticas, líderes de fundaciones privadas, organizaciones de la sociedad civil y la academia, así como funcionarios de las Naciones Unidas.</w:t>
      </w:r>
    </w:p>
    <w:p w14:paraId="56B9CFBF" w14:textId="77777777" w:rsidR="00156697" w:rsidRPr="007C5409" w:rsidRDefault="00156697">
      <w:pPr>
        <w:rPr>
          <w:sz w:val="22"/>
          <w:szCs w:val="22"/>
        </w:rPr>
      </w:pPr>
    </w:p>
    <w:sectPr w:rsidR="00156697" w:rsidRPr="007C540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11005" w14:textId="77777777" w:rsidR="007E3FF7" w:rsidRDefault="007E3FF7" w:rsidP="00BA1C23">
      <w:r>
        <w:separator/>
      </w:r>
    </w:p>
  </w:endnote>
  <w:endnote w:type="continuationSeparator" w:id="0">
    <w:p w14:paraId="209A3222" w14:textId="77777777" w:rsidR="007E3FF7" w:rsidRDefault="007E3FF7" w:rsidP="00BA1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F Pro Display">
    <w:altName w:val="Calibri"/>
    <w:panose1 w:val="00000000000000000000"/>
    <w:charset w:val="00"/>
    <w:family w:val="modern"/>
    <w:notTrueType/>
    <w:pitch w:val="variable"/>
    <w:sig w:usb0="2000028F" w:usb1="02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39637" w14:textId="1F7303FA" w:rsidR="00BA1C23" w:rsidRDefault="00BA1C23">
    <w:pPr>
      <w:pStyle w:val="Footer"/>
    </w:pPr>
    <w:r w:rsidRPr="00803F7B">
      <w:rPr>
        <w:rFonts w:ascii="SF Pro Display" w:hAnsi="SF Pro Display"/>
        <w:noProof/>
        <w:color w:val="646363"/>
        <w:lang w:val="en-GB"/>
      </w:rPr>
      <w:drawing>
        <wp:anchor distT="0" distB="0" distL="114300" distR="114300" simplePos="0" relativeHeight="251659264" behindDoc="1" locked="0" layoutInCell="1" allowOverlap="1" wp14:anchorId="1A6C5860" wp14:editId="052F9EA5">
          <wp:simplePos x="0" y="0"/>
          <wp:positionH relativeFrom="page">
            <wp:align>right</wp:align>
          </wp:positionH>
          <wp:positionV relativeFrom="paragraph">
            <wp:posOffset>-2528570</wp:posOffset>
          </wp:positionV>
          <wp:extent cx="7772400" cy="3114675"/>
          <wp:effectExtent l="0" t="0" r="0" b="9525"/>
          <wp:wrapNone/>
          <wp:docPr id="3" name="6 Imagen" descr="b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.jpg"/>
                  <pic:cNvPicPr/>
                </pic:nvPicPr>
                <pic:blipFill>
                  <a:blip r:embed="rId1" cstate="print"/>
                  <a:srcRect t="57430"/>
                  <a:stretch>
                    <a:fillRect/>
                  </a:stretch>
                </pic:blipFill>
                <pic:spPr>
                  <a:xfrm>
                    <a:off x="0" y="0"/>
                    <a:ext cx="7772400" cy="31146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9D21B" w14:textId="77777777" w:rsidR="007E3FF7" w:rsidRDefault="007E3FF7" w:rsidP="00BA1C23">
      <w:r>
        <w:separator/>
      </w:r>
    </w:p>
  </w:footnote>
  <w:footnote w:type="continuationSeparator" w:id="0">
    <w:p w14:paraId="1D8D5E45" w14:textId="77777777" w:rsidR="007E3FF7" w:rsidRDefault="007E3FF7" w:rsidP="00BA1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C9106" w14:textId="6127405C" w:rsidR="00BA1C23" w:rsidRDefault="003534D5" w:rsidP="003534D5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C93ADE7" wp14:editId="733E333D">
          <wp:simplePos x="0" y="0"/>
          <wp:positionH relativeFrom="column">
            <wp:posOffset>3958590</wp:posOffset>
          </wp:positionH>
          <wp:positionV relativeFrom="paragraph">
            <wp:posOffset>131445</wp:posOffset>
          </wp:positionV>
          <wp:extent cx="1619250" cy="628650"/>
          <wp:effectExtent l="0" t="0" r="0" b="0"/>
          <wp:wrapSquare wrapText="bothSides"/>
          <wp:docPr id="1073741830" name="officeArt object" descr="Inserting image...&#10;&#10;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nserting image...&#10;&#10;picture" descr="Inserting image...pic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6286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D2EA7EA" wp14:editId="6557F2A2">
          <wp:simplePos x="0" y="0"/>
          <wp:positionH relativeFrom="column">
            <wp:posOffset>2558415</wp:posOffset>
          </wp:positionH>
          <wp:positionV relativeFrom="paragraph">
            <wp:posOffset>-11430</wp:posOffset>
          </wp:positionV>
          <wp:extent cx="685800" cy="857250"/>
          <wp:effectExtent l="0" t="0" r="0" b="0"/>
          <wp:wrapSquare wrapText="bothSides"/>
          <wp:docPr id="1073741829" name="officeArt object" descr="Inserting image...&#10;&#10;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nserting image...&#10;&#10;picture" descr="Inserting image...pictur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857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7D2198">
      <w:rPr>
        <w:noProof/>
      </w:rPr>
      <w:drawing>
        <wp:anchor distT="0" distB="0" distL="114300" distR="114300" simplePos="0" relativeHeight="251660288" behindDoc="0" locked="0" layoutInCell="1" allowOverlap="1" wp14:anchorId="531A465B" wp14:editId="290B9043">
          <wp:simplePos x="0" y="0"/>
          <wp:positionH relativeFrom="margin">
            <wp:align>left</wp:align>
          </wp:positionH>
          <wp:positionV relativeFrom="paragraph">
            <wp:posOffset>83820</wp:posOffset>
          </wp:positionV>
          <wp:extent cx="1276350" cy="762000"/>
          <wp:effectExtent l="0" t="0" r="0" b="0"/>
          <wp:wrapSquare wrapText="bothSides"/>
          <wp:docPr id="1073741828" name="officeArt object" descr="Inserting image...&#10;&#10;pictu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nserting image...&#10;&#10;picture" descr="Inserting image...pictur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762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D66C8F">
      <w:tab/>
    </w:r>
    <w:r>
      <w:t xml:space="preserve">                  </w:t>
    </w:r>
  </w:p>
  <w:p w14:paraId="2E9A6359" w14:textId="5F6304A2" w:rsidR="003534D5" w:rsidRDefault="003534D5" w:rsidP="003534D5">
    <w:pPr>
      <w:pStyle w:val="Header"/>
      <w:jc w:val="right"/>
    </w:pPr>
  </w:p>
  <w:p w14:paraId="74B5A519" w14:textId="2D12DC92" w:rsidR="003534D5" w:rsidRDefault="003534D5" w:rsidP="003534D5">
    <w:pPr>
      <w:pStyle w:val="Header"/>
      <w:jc w:val="right"/>
    </w:pPr>
  </w:p>
  <w:p w14:paraId="42788EFA" w14:textId="2611E769" w:rsidR="003534D5" w:rsidRDefault="003534D5" w:rsidP="003534D5">
    <w:pPr>
      <w:pStyle w:val="Header"/>
      <w:jc w:val="right"/>
    </w:pPr>
  </w:p>
  <w:p w14:paraId="17E771C7" w14:textId="25048F79" w:rsidR="003534D5" w:rsidRDefault="003534D5" w:rsidP="003534D5">
    <w:pPr>
      <w:pStyle w:val="Header"/>
      <w:jc w:val="right"/>
    </w:pPr>
  </w:p>
  <w:p w14:paraId="3B00E6EE" w14:textId="3FABEB34" w:rsidR="003534D5" w:rsidRDefault="003534D5" w:rsidP="003534D5">
    <w:pPr>
      <w:pStyle w:val="Header"/>
      <w:jc w:val="right"/>
    </w:pPr>
  </w:p>
  <w:p w14:paraId="416AF3D8" w14:textId="77777777" w:rsidR="003534D5" w:rsidRDefault="003534D5" w:rsidP="003534D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ED299A"/>
    <w:multiLevelType w:val="hybridMultilevel"/>
    <w:tmpl w:val="444EF4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807"/>
    <w:rsid w:val="00156697"/>
    <w:rsid w:val="003534D5"/>
    <w:rsid w:val="004A2831"/>
    <w:rsid w:val="007C5409"/>
    <w:rsid w:val="007D2198"/>
    <w:rsid w:val="007E3FF7"/>
    <w:rsid w:val="00BA1C23"/>
    <w:rsid w:val="00D66C8F"/>
    <w:rsid w:val="00EF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9CF9B"/>
  <w15:chartTrackingRefBased/>
  <w15:docId w15:val="{651AA5E6-FF8B-455D-A8E8-435C16B6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280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as,List Paragraph1,List Paragraph_0,Recommendation,List Paragraph11,L,CV text,Table text,F5 List Paragraph,Dot pt,List Paragraph111,Medium Grid 1 - Accent 21,Numbered Paragraph,List Paragraph2,Bulleted Para,NFP GP Bulleted List"/>
    <w:basedOn w:val="Normal"/>
    <w:link w:val="ListParagraphChar"/>
    <w:uiPriority w:val="34"/>
    <w:qFormat/>
    <w:rsid w:val="00EF2807"/>
    <w:pPr>
      <w:autoSpaceDE/>
      <w:autoSpaceDN/>
      <w:spacing w:after="200"/>
      <w:ind w:left="720"/>
      <w:contextualSpacing/>
      <w:jc w:val="both"/>
    </w:pPr>
    <w:rPr>
      <w:rFonts w:ascii="Arial" w:eastAsia="Arial" w:hAnsi="Arial"/>
      <w:sz w:val="22"/>
      <w:szCs w:val="22"/>
      <w:lang w:val="es-MX" w:eastAsia="en-US"/>
    </w:rPr>
  </w:style>
  <w:style w:type="character" w:customStyle="1" w:styleId="ListParagraphChar">
    <w:name w:val="List Paragraph Char"/>
    <w:aliases w:val="Listas Char,List Paragraph1 Char,List Paragraph_0 Char,Recommendation Char,List Paragraph11 Char,L Char,CV text Char,Table text Char,F5 List Paragraph Char,Dot pt Char,List Paragraph111 Char,Medium Grid 1 - Accent 21 Char"/>
    <w:link w:val="ListParagraph"/>
    <w:uiPriority w:val="34"/>
    <w:locked/>
    <w:rsid w:val="00EF2807"/>
    <w:rPr>
      <w:rFonts w:ascii="Arial" w:eastAsia="Arial" w:hAnsi="Arial" w:cs="Times New Roman"/>
    </w:rPr>
  </w:style>
  <w:style w:type="paragraph" w:styleId="Header">
    <w:name w:val="header"/>
    <w:basedOn w:val="Normal"/>
    <w:link w:val="HeaderChar"/>
    <w:uiPriority w:val="99"/>
    <w:unhideWhenUsed/>
    <w:rsid w:val="00BA1C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C23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paragraph" w:styleId="Footer">
    <w:name w:val="footer"/>
    <w:basedOn w:val="Normal"/>
    <w:link w:val="FooterChar"/>
    <w:uiPriority w:val="99"/>
    <w:unhideWhenUsed/>
    <w:rsid w:val="00BA1C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C23"/>
    <w:rPr>
      <w:rFonts w:ascii="Times New Roman" w:eastAsia="Times New Roman" w:hAnsi="Times New Roman" w:cs="Times New Roman"/>
      <w:sz w:val="20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Arelle</dc:creator>
  <cp:keywords/>
  <dc:description/>
  <cp:lastModifiedBy>Cynthia Rodriguez</cp:lastModifiedBy>
  <cp:revision>2</cp:revision>
  <dcterms:created xsi:type="dcterms:W3CDTF">2018-09-25T18:52:00Z</dcterms:created>
  <dcterms:modified xsi:type="dcterms:W3CDTF">2018-09-25T18:52:00Z</dcterms:modified>
</cp:coreProperties>
</file>